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521"/>
        <w:gridCol w:w="1337"/>
      </w:tblGrid>
      <w:tr w:rsidR="00F856E1" w:rsidTr="00F856E1">
        <w:tc>
          <w:tcPr>
            <w:tcW w:w="1384" w:type="dxa"/>
          </w:tcPr>
          <w:p w:rsidR="00F856E1" w:rsidRDefault="00F856E1" w:rsidP="00F856E1">
            <w:pPr>
              <w:jc w:val="both"/>
              <w:rPr>
                <w:sz w:val="36"/>
                <w:szCs w:val="36"/>
              </w:rPr>
            </w:pPr>
            <w:r>
              <w:rPr>
                <w:noProof/>
                <w:lang w:eastAsia="en-AU"/>
              </w:rPr>
              <w:drawing>
                <wp:inline distT="0" distB="0" distL="0" distR="0">
                  <wp:extent cx="704850" cy="1005565"/>
                  <wp:effectExtent l="19050" t="0" r="0" b="0"/>
                  <wp:docPr id="9" name="Picture 0" descr="TBAQ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AQ new logo.JPG"/>
                          <pic:cNvPicPr/>
                        </pic:nvPicPr>
                        <pic:blipFill>
                          <a:blip r:embed="rId4" cstate="print"/>
                          <a:stretch>
                            <a:fillRect/>
                          </a:stretch>
                        </pic:blipFill>
                        <pic:spPr>
                          <a:xfrm>
                            <a:off x="0" y="0"/>
                            <a:ext cx="706441" cy="1007835"/>
                          </a:xfrm>
                          <a:prstGeom prst="rect">
                            <a:avLst/>
                          </a:prstGeom>
                        </pic:spPr>
                      </pic:pic>
                    </a:graphicData>
                  </a:graphic>
                </wp:inline>
              </w:drawing>
            </w:r>
          </w:p>
        </w:tc>
        <w:tc>
          <w:tcPr>
            <w:tcW w:w="6521" w:type="dxa"/>
          </w:tcPr>
          <w:p w:rsidR="00F856E1" w:rsidRDefault="00F856E1" w:rsidP="00F856E1">
            <w:pPr>
              <w:jc w:val="center"/>
              <w:rPr>
                <w:sz w:val="28"/>
                <w:szCs w:val="28"/>
              </w:rPr>
            </w:pPr>
            <w:r w:rsidRPr="00F856E1">
              <w:rPr>
                <w:sz w:val="28"/>
                <w:szCs w:val="28"/>
              </w:rPr>
              <w:t>TBAQ State Administrators report 2014 AGM</w:t>
            </w:r>
          </w:p>
          <w:p w:rsidR="00F856E1" w:rsidRDefault="00F856E1" w:rsidP="00F856E1">
            <w:pPr>
              <w:jc w:val="center"/>
              <w:rPr>
                <w:sz w:val="36"/>
                <w:szCs w:val="36"/>
              </w:rPr>
            </w:pPr>
          </w:p>
        </w:tc>
        <w:tc>
          <w:tcPr>
            <w:tcW w:w="1337" w:type="dxa"/>
          </w:tcPr>
          <w:p w:rsidR="00F856E1" w:rsidRDefault="00F856E1" w:rsidP="00F856E1">
            <w:pPr>
              <w:jc w:val="both"/>
              <w:rPr>
                <w:sz w:val="36"/>
                <w:szCs w:val="36"/>
              </w:rPr>
            </w:pPr>
            <w:r>
              <w:rPr>
                <w:b/>
                <w:noProof/>
                <w:lang w:eastAsia="en-AU"/>
              </w:rPr>
              <w:drawing>
                <wp:inline distT="0" distB="0" distL="0" distR="0">
                  <wp:extent cx="542800" cy="676275"/>
                  <wp:effectExtent l="19050" t="0" r="0" b="0"/>
                  <wp:docPr id="10" name="Picture 2" descr="qld-crest-on-top-2linestacked-b-w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rest-on-top-2linestacked-b-w (1).eps"/>
                          <pic:cNvPicPr/>
                        </pic:nvPicPr>
                        <pic:blipFill>
                          <a:blip r:embed="rId5" cstate="print"/>
                          <a:stretch>
                            <a:fillRect/>
                          </a:stretch>
                        </pic:blipFill>
                        <pic:spPr>
                          <a:xfrm>
                            <a:off x="0" y="0"/>
                            <a:ext cx="546222" cy="680539"/>
                          </a:xfrm>
                          <a:prstGeom prst="rect">
                            <a:avLst/>
                          </a:prstGeom>
                        </pic:spPr>
                      </pic:pic>
                    </a:graphicData>
                  </a:graphic>
                </wp:inline>
              </w:drawing>
            </w:r>
          </w:p>
        </w:tc>
      </w:tr>
    </w:tbl>
    <w:p w:rsidR="00F856E1" w:rsidRPr="00DE6C48" w:rsidRDefault="00F856E1" w:rsidP="00F856E1">
      <w:pPr>
        <w:jc w:val="both"/>
        <w:rPr>
          <w:sz w:val="36"/>
          <w:szCs w:val="36"/>
        </w:rPr>
      </w:pPr>
    </w:p>
    <w:p w:rsidR="00F856E1" w:rsidRDefault="00F856E1" w:rsidP="00F856E1">
      <w:pPr>
        <w:jc w:val="both"/>
        <w:rPr>
          <w:b/>
        </w:rPr>
      </w:pPr>
    </w:p>
    <w:p w:rsidR="00903B06" w:rsidRPr="00DE6C48" w:rsidRDefault="00903B06">
      <w:pPr>
        <w:rPr>
          <w:b/>
        </w:rPr>
      </w:pPr>
      <w:r w:rsidRPr="00DE6C48">
        <w:rPr>
          <w:b/>
        </w:rPr>
        <w:t>Organisation development:</w:t>
      </w:r>
      <w:r w:rsidR="00F538D3">
        <w:rPr>
          <w:b/>
        </w:rPr>
        <w:t xml:space="preserve"> 2013 Operational Report:</w:t>
      </w:r>
      <w:r w:rsidR="00F856E1" w:rsidRPr="00F856E1">
        <w:rPr>
          <w:noProof/>
          <w:lang w:eastAsia="en-AU"/>
        </w:rPr>
        <w:t xml:space="preserve"> </w:t>
      </w:r>
    </w:p>
    <w:p w:rsidR="00E074A1" w:rsidRDefault="00903B06">
      <w:r>
        <w:t>The Board of management and I continue to work with the State Government on organisation development and the promotion of Tenpin as a sport and as a result have positioned ourselves as one of only 3 sports to receive an increase in funding in 2014</w:t>
      </w:r>
      <w:r w:rsidR="00DE6C48">
        <w:t xml:space="preserve"> in Queensland</w:t>
      </w:r>
      <w:r>
        <w:t xml:space="preserve">.  </w:t>
      </w:r>
      <w:r w:rsidR="00E074A1">
        <w:t xml:space="preserve">The funding received </w:t>
      </w:r>
      <w:r w:rsidR="00F538D3">
        <w:t xml:space="preserve">still </w:t>
      </w:r>
      <w:r w:rsidR="00E074A1">
        <w:t>only covers a small percentage of our operating costs</w:t>
      </w:r>
      <w:r w:rsidR="00DE6C48">
        <w:t xml:space="preserve"> delivering services </w:t>
      </w:r>
      <w:r w:rsidR="00E074A1">
        <w:t>in a state the size of Queensland.</w:t>
      </w:r>
    </w:p>
    <w:p w:rsidR="00903B06" w:rsidRDefault="00F538D3">
      <w:r>
        <w:t>TBAQ is best known in the community for r</w:t>
      </w:r>
      <w:r w:rsidR="00903B06">
        <w:t>ecognition of the commun</w:t>
      </w:r>
      <w:r>
        <w:t>ity sport services</w:t>
      </w:r>
      <w:r w:rsidR="00903B06">
        <w:t xml:space="preserve"> provide</w:t>
      </w:r>
      <w:r>
        <w:t>d</w:t>
      </w:r>
      <w:r w:rsidR="00903B06">
        <w:t xml:space="preserve"> to schools, universities, community centres, through sport service education and training and the development of an expanded range of services.  Most of these services not visible from a bowlin</w:t>
      </w:r>
      <w:r w:rsidR="00E074A1">
        <w:t xml:space="preserve">g centre but our results </w:t>
      </w:r>
      <w:r w:rsidR="00DE6C48">
        <w:t>steadily increase</w:t>
      </w:r>
      <w:r w:rsidR="00903B06">
        <w:t xml:space="preserve"> our profile as a sport in the community</w:t>
      </w:r>
      <w:r w:rsidR="00E074A1">
        <w:t xml:space="preserve"> amongst other sports with a much larger workforce</w:t>
      </w:r>
      <w:r w:rsidR="00903B06">
        <w:t>.</w:t>
      </w:r>
    </w:p>
    <w:p w:rsidR="00903B06" w:rsidRDefault="00903B06">
      <w:r>
        <w:t xml:space="preserve">In bowling centres we have constructed a </w:t>
      </w:r>
      <w:r w:rsidRPr="00E074A1">
        <w:rPr>
          <w:b/>
        </w:rPr>
        <w:t>State wide Roll ‘n Strike league</w:t>
      </w:r>
      <w:r>
        <w:t xml:space="preserve"> which is the </w:t>
      </w:r>
      <w:proofErr w:type="gramStart"/>
      <w:r>
        <w:t>‘branded  league’</w:t>
      </w:r>
      <w:proofErr w:type="gramEnd"/>
      <w:r>
        <w:t xml:space="preserve"> advertis</w:t>
      </w:r>
      <w:r w:rsidR="00DE6C48">
        <w:t>ed on our website where juniors and adults alike</w:t>
      </w:r>
      <w:r>
        <w:t xml:space="preserve"> can go and receive coaching services at 5 week intervals in each term of the year</w:t>
      </w:r>
      <w:r w:rsidR="00DE6C48">
        <w:t xml:space="preserve"> at participating centres</w:t>
      </w:r>
      <w:r>
        <w:t>.  The league also serves as a schedule for new coaches to coach alongside exper</w:t>
      </w:r>
      <w:r w:rsidR="00E074A1">
        <w:t>ienced coaches</w:t>
      </w:r>
      <w:r>
        <w:t xml:space="preserve">, further strengthening the sport </w:t>
      </w:r>
      <w:r w:rsidR="00DE6C48">
        <w:t>with many new coaches invited to teach</w:t>
      </w:r>
      <w:r w:rsidR="00E074A1">
        <w:t xml:space="preserve"> strong basic skills for our lifetime sport.</w:t>
      </w:r>
      <w:r w:rsidR="00F538D3">
        <w:t xml:space="preserve">  We are still looking for more coaches to open these important RNS Leagues where people (juniors and adults) know they will get help to play the sport.</w:t>
      </w:r>
    </w:p>
    <w:p w:rsidR="00903B06" w:rsidRDefault="00E074A1">
      <w:r>
        <w:t>TBAQ were recognised as the education and training providers for school services by Tenpin Bowling Australia which is an honour and reward for many years perfecting our delivery of teacher professional development strategies and community coach education support mechanisms.</w:t>
      </w:r>
    </w:p>
    <w:p w:rsidR="00E074A1" w:rsidRDefault="00E074A1">
      <w:r>
        <w:t>Our club support officers Alexi and Steve are completing their contracts for 3 years and Alexi has moved on to become our State Coaching Director and Steve completes his contract</w:t>
      </w:r>
      <w:r w:rsidR="00F00C0C">
        <w:t xml:space="preserve"> as Club Support Officer </w:t>
      </w:r>
      <w:r>
        <w:t xml:space="preserve"> in August this year.</w:t>
      </w:r>
      <w:r w:rsidR="00F856E1">
        <w:t xml:space="preserve"> Notable achievements </w:t>
      </w:r>
      <w:proofErr w:type="gramStart"/>
      <w:r w:rsidR="00F856E1">
        <w:t>a state wide Governance manual to assist Associations, assistance with grant</w:t>
      </w:r>
      <w:proofErr w:type="gramEnd"/>
      <w:r w:rsidR="00F856E1">
        <w:t xml:space="preserve"> applications and member services. </w:t>
      </w:r>
      <w:proofErr w:type="gramStart"/>
      <w:r w:rsidR="00F856E1">
        <w:t>Recruitment of community persons into leagues through links with community organisations.</w:t>
      </w:r>
      <w:proofErr w:type="gramEnd"/>
    </w:p>
    <w:p w:rsidR="00F856E1" w:rsidRDefault="002C78E3">
      <w:pPr>
        <w:rPr>
          <w:b/>
        </w:rPr>
      </w:pPr>
      <w:r>
        <w:rPr>
          <w:b/>
        </w:rPr>
        <w:t>H</w:t>
      </w:r>
      <w:r w:rsidR="00F856E1">
        <w:rPr>
          <w:b/>
        </w:rPr>
        <w:t>istoric achievements of TBAQ, our committees and our athletes</w:t>
      </w:r>
    </w:p>
    <w:p w:rsidR="00E074A1" w:rsidRDefault="00E074A1">
      <w:r w:rsidRPr="00163759">
        <w:rPr>
          <w:b/>
        </w:rPr>
        <w:t xml:space="preserve">Our Open grade </w:t>
      </w:r>
      <w:r w:rsidR="00163759" w:rsidRPr="00163759">
        <w:rPr>
          <w:b/>
        </w:rPr>
        <w:t xml:space="preserve">(Walter </w:t>
      </w:r>
      <w:proofErr w:type="spellStart"/>
      <w:r w:rsidR="00163759" w:rsidRPr="00163759">
        <w:rPr>
          <w:b/>
        </w:rPr>
        <w:t>Rachuig</w:t>
      </w:r>
      <w:proofErr w:type="spellEnd"/>
      <w:r w:rsidR="00163759" w:rsidRPr="00163759">
        <w:rPr>
          <w:b/>
        </w:rPr>
        <w:t xml:space="preserve"> Trophy</w:t>
      </w:r>
      <w:r w:rsidR="00163759">
        <w:t xml:space="preserve">) </w:t>
      </w:r>
      <w:r>
        <w:t>Qld State teams</w:t>
      </w:r>
      <w:proofErr w:type="gramStart"/>
      <w:r>
        <w:t>–  took</w:t>
      </w:r>
      <w:proofErr w:type="gramEnd"/>
      <w:r>
        <w:t xml:space="preserve"> all Gold medals on offer at the Nationals for the first time – </w:t>
      </w:r>
      <w:r w:rsidR="00163759">
        <w:t xml:space="preserve">Qld </w:t>
      </w:r>
      <w:r>
        <w:t xml:space="preserve">Ladies (back to back) and </w:t>
      </w:r>
      <w:r w:rsidR="00163759">
        <w:t xml:space="preserve">Qld </w:t>
      </w:r>
      <w:r>
        <w:t>Men</w:t>
      </w:r>
      <w:r w:rsidR="00163759">
        <w:t>’</w:t>
      </w:r>
      <w:r>
        <w:t xml:space="preserve">s Gold </w:t>
      </w:r>
      <w:r w:rsidR="00163759">
        <w:t>(</w:t>
      </w:r>
      <w:r>
        <w:t>the first time in tenpin national history</w:t>
      </w:r>
      <w:r w:rsidR="00163759">
        <w:t xml:space="preserve">).  </w:t>
      </w:r>
      <w:proofErr w:type="gramStart"/>
      <w:r w:rsidR="00163759">
        <w:t xml:space="preserve">The combined team (the Trish </w:t>
      </w:r>
      <w:proofErr w:type="spellStart"/>
      <w:r w:rsidR="00163759">
        <w:t>Datson</w:t>
      </w:r>
      <w:proofErr w:type="spellEnd"/>
      <w:r w:rsidR="00163759">
        <w:t xml:space="preserve"> trophy) Gold also falling into the laps of our </w:t>
      </w:r>
      <w:r w:rsidR="00163759">
        <w:lastRenderedPageBreak/>
        <w:t>Qld teams.</w:t>
      </w:r>
      <w:proofErr w:type="gramEnd"/>
      <w:r w:rsidR="00F538D3">
        <w:t xml:space="preserve"> Our </w:t>
      </w:r>
      <w:proofErr w:type="gramStart"/>
      <w:r w:rsidR="00F538D3">
        <w:t>Juniors</w:t>
      </w:r>
      <w:proofErr w:type="gramEnd"/>
      <w:r w:rsidR="00F538D3">
        <w:t xml:space="preserve"> and Youth still benchmarking high places at Nationals and our bowlers with disability achieving also – full reports provided by each committee.</w:t>
      </w:r>
    </w:p>
    <w:p w:rsidR="007171CE" w:rsidRDefault="00163759">
      <w:r w:rsidRPr="00163759">
        <w:rPr>
          <w:b/>
        </w:rPr>
        <w:t>Talent ID and Development camps, State Based training programs:</w:t>
      </w:r>
      <w:r w:rsidR="00F00C0C">
        <w:rPr>
          <w:b/>
        </w:rPr>
        <w:t xml:space="preserve"> </w:t>
      </w:r>
      <w:r w:rsidR="00F00C0C" w:rsidRPr="00F00C0C">
        <w:t xml:space="preserve">We had world class coaching offered to all participants with Sean Rash, Parker Bohn and Chuck Gardner providing clinics in Queensland then Kelly </w:t>
      </w:r>
      <w:proofErr w:type="spellStart"/>
      <w:r w:rsidR="00F00C0C" w:rsidRPr="00F00C0C">
        <w:t>Kullick</w:t>
      </w:r>
      <w:proofErr w:type="spellEnd"/>
      <w:r w:rsidR="00F00C0C" w:rsidRPr="00F00C0C">
        <w:t xml:space="preserve"> doing a tour of Queensland offering coach workshops to our coaches and clinics for all abilities from Brisbane to Cairns in November.</w:t>
      </w:r>
      <w:r w:rsidR="007171CE">
        <w:t xml:space="preserve"> </w:t>
      </w:r>
    </w:p>
    <w:p w:rsidR="00163759" w:rsidRDefault="007171CE">
      <w:r>
        <w:t xml:space="preserve">Results of individual athlete performances of Qld athletes include, the following </w:t>
      </w:r>
      <w:proofErr w:type="gramStart"/>
      <w:r>
        <w:t>Queenslanders  attaining</w:t>
      </w:r>
      <w:proofErr w:type="gramEnd"/>
      <w:r>
        <w:t xml:space="preserve"> positions in Australian teams, Bianca Flanagan, Jacinta Gilliland, Brendan Meads who travelled to the World Championships. </w:t>
      </w:r>
      <w:proofErr w:type="gramStart"/>
      <w:r>
        <w:t xml:space="preserve">Two Queensland juniors winning the Australian Junior masters titles, </w:t>
      </w:r>
      <w:proofErr w:type="spellStart"/>
      <w:r>
        <w:t>Katey</w:t>
      </w:r>
      <w:proofErr w:type="spellEnd"/>
      <w:r>
        <w:t xml:space="preserve"> Furze (NQ) winner of the Girls Masters and Jake Otago (SQ) winner of the Boys national Masters titles.</w:t>
      </w:r>
      <w:proofErr w:type="gramEnd"/>
      <w:r>
        <w:t xml:space="preserve"> Behind the scenes many hard working coaches guiding these and many more aspiring to elite athletes on their training schedules.</w:t>
      </w:r>
    </w:p>
    <w:p w:rsidR="00163759" w:rsidRDefault="00163759" w:rsidP="00163759">
      <w:r w:rsidRPr="00163759">
        <w:rPr>
          <w:b/>
        </w:rPr>
        <w:t>TBAQ new website</w:t>
      </w:r>
      <w:r>
        <w:t xml:space="preserve"> now o</w:t>
      </w:r>
      <w:r w:rsidR="00F00C0C">
        <w:t>perating – provides news of bowlers achieving at all levels and now also has a ‘shop’ to order supporters shirts, coach shirts, school equipment and other items tenpin specific.</w:t>
      </w:r>
      <w:r w:rsidR="00F538D3">
        <w:t xml:space="preserve">  Please look through our new website and provide feedback.</w:t>
      </w:r>
    </w:p>
    <w:p w:rsidR="00E074A1" w:rsidRDefault="00163759">
      <w:r w:rsidRPr="00163759">
        <w:rPr>
          <w:b/>
        </w:rPr>
        <w:t>Teacher Professional Development training</w:t>
      </w:r>
      <w:r>
        <w:t xml:space="preserve"> – on line completed</w:t>
      </w:r>
      <w:r w:rsidR="00F00C0C">
        <w:t xml:space="preserve"> more evidence of the Board of Management investing in the sport and raising the profile of our sport amongst other sports.</w:t>
      </w:r>
    </w:p>
    <w:p w:rsidR="00163759" w:rsidRDefault="00163759">
      <w:r w:rsidRPr="00163759">
        <w:rPr>
          <w:b/>
        </w:rPr>
        <w:t>Community sport training</w:t>
      </w:r>
      <w:r w:rsidR="00F00C0C">
        <w:t xml:space="preserve"> online education – this video allows local PCYC and Active </w:t>
      </w:r>
      <w:proofErr w:type="gramStart"/>
      <w:r w:rsidR="00F00C0C">
        <w:t>After</w:t>
      </w:r>
      <w:proofErr w:type="gramEnd"/>
      <w:r w:rsidR="00F00C0C">
        <w:t xml:space="preserve"> School presenters to learn the skills of bowling towards sending children and families to play and learn in Roll ‘n Strike leagues across the country.</w:t>
      </w:r>
    </w:p>
    <w:p w:rsidR="00F538D3" w:rsidRPr="00163759" w:rsidRDefault="00F538D3" w:rsidP="00F538D3">
      <w:pPr>
        <w:rPr>
          <w:b/>
        </w:rPr>
      </w:pPr>
      <w:r w:rsidRPr="00F856E1">
        <w:rPr>
          <w:b/>
        </w:rPr>
        <w:t>Coach education and training</w:t>
      </w:r>
      <w:r>
        <w:t xml:space="preserve"> is undergoing a major reboot with TBA offering a new suite of programs which will be adopted by all states in the upcoming 2 years. </w:t>
      </w:r>
    </w:p>
    <w:p w:rsidR="00163759" w:rsidRDefault="00163759">
      <w:r w:rsidRPr="00F538D3">
        <w:rPr>
          <w:b/>
        </w:rPr>
        <w:t>Coach accreditation</w:t>
      </w:r>
      <w:r>
        <w:t xml:space="preserve"> Level 1 – </w:t>
      </w:r>
      <w:r w:rsidR="00F00C0C">
        <w:t>will be called Bronze level after June this year and Level 2 will be silver – TBA will be launching new courses and until this time TBAQ w</w:t>
      </w:r>
      <w:r w:rsidR="00F538D3">
        <w:t xml:space="preserve">ill be continuing to use the previous </w:t>
      </w:r>
      <w:r w:rsidR="00F00C0C">
        <w:t xml:space="preserve"> course</w:t>
      </w:r>
      <w:r w:rsidR="00F538D3">
        <w:t xml:space="preserve"> content </w:t>
      </w:r>
      <w:r w:rsidR="00F00C0C">
        <w:t xml:space="preserve"> to accredit coaches </w:t>
      </w:r>
      <w:r w:rsidR="00F538D3">
        <w:t>and will offer the new update when these are available in Queensland.</w:t>
      </w:r>
    </w:p>
    <w:p w:rsidR="00F538D3" w:rsidRDefault="00F538D3">
      <w:r>
        <w:t xml:space="preserve">I would like to thank the Board of Tenpin Bowling Association of Queensland for supporting the sport as they do.  For providing a solid team working over many volunteer </w:t>
      </w:r>
      <w:proofErr w:type="gramStart"/>
      <w:r>
        <w:t>hours  in</w:t>
      </w:r>
      <w:proofErr w:type="gramEnd"/>
      <w:r>
        <w:t xml:space="preserve"> the best interest of the sport at all times.</w:t>
      </w:r>
    </w:p>
    <w:p w:rsidR="00F538D3" w:rsidRDefault="00F538D3">
      <w:r>
        <w:t>Thank you to the many volunteers and players who are passionate about the sport without you there would be no sport.</w:t>
      </w:r>
    </w:p>
    <w:p w:rsidR="00F538D3" w:rsidRDefault="00F538D3">
      <w:r>
        <w:t xml:space="preserve">Thank you to the staff of </w:t>
      </w:r>
      <w:proofErr w:type="gramStart"/>
      <w:r>
        <w:t>TBAQ  for</w:t>
      </w:r>
      <w:proofErr w:type="gramEnd"/>
      <w:r>
        <w:t xml:space="preserve"> working tirelessly all year to deliver the plans laid out and contributing </w:t>
      </w:r>
      <w:r w:rsidR="00F856E1">
        <w:t>to the growth of the sport each year.</w:t>
      </w:r>
    </w:p>
    <w:p w:rsidR="00F856E1" w:rsidRDefault="00F856E1"/>
    <w:p w:rsidR="00F856E1" w:rsidRDefault="00F856E1">
      <w:r>
        <w:t>Gail Torrens</w:t>
      </w:r>
    </w:p>
    <w:p w:rsidR="00F856E1" w:rsidRDefault="00F856E1">
      <w:r>
        <w:t>State Administrator TBAQ</w:t>
      </w:r>
    </w:p>
    <w:sectPr w:rsidR="00F856E1" w:rsidSect="00CD45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B06"/>
    <w:rsid w:val="00163759"/>
    <w:rsid w:val="001E67EA"/>
    <w:rsid w:val="002C78E3"/>
    <w:rsid w:val="007171CE"/>
    <w:rsid w:val="00903B06"/>
    <w:rsid w:val="00AD54C3"/>
    <w:rsid w:val="00CD45C0"/>
    <w:rsid w:val="00DE6C48"/>
    <w:rsid w:val="00E074A1"/>
    <w:rsid w:val="00F00C0C"/>
    <w:rsid w:val="00F538D3"/>
    <w:rsid w:val="00F856E1"/>
    <w:rsid w:val="00FB4C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6E1"/>
    <w:rPr>
      <w:rFonts w:ascii="Tahoma" w:hAnsi="Tahoma" w:cs="Tahoma"/>
      <w:sz w:val="16"/>
      <w:szCs w:val="16"/>
    </w:rPr>
  </w:style>
  <w:style w:type="table" w:styleId="TableGrid">
    <w:name w:val="Table Grid"/>
    <w:basedOn w:val="TableNormal"/>
    <w:uiPriority w:val="59"/>
    <w:rsid w:val="00F85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Torrens</dc:creator>
  <cp:lastModifiedBy>Gail Torrens</cp:lastModifiedBy>
  <cp:revision>3</cp:revision>
  <cp:lastPrinted>2014-03-19T06:50:00Z</cp:lastPrinted>
  <dcterms:created xsi:type="dcterms:W3CDTF">2014-03-10T05:59:00Z</dcterms:created>
  <dcterms:modified xsi:type="dcterms:W3CDTF">2014-03-19T06:51:00Z</dcterms:modified>
</cp:coreProperties>
</file>